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F" w:rsidRPr="002D380F" w:rsidRDefault="007D695F" w:rsidP="007D695F">
      <w:pPr>
        <w:spacing w:line="600" w:lineRule="exact"/>
        <w:rPr>
          <w:rFonts w:ascii="黑体" w:eastAsia="黑体" w:hAnsi="黑体"/>
          <w:sz w:val="28"/>
          <w:szCs w:val="28"/>
        </w:rPr>
      </w:pPr>
      <w:r w:rsidRPr="002D380F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7</w:t>
      </w:r>
    </w:p>
    <w:p w:rsidR="006F4B44" w:rsidRDefault="006D4337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 w:rsidRPr="008076B3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山西省林业和草原局</w:t>
      </w:r>
    </w:p>
    <w:p w:rsidR="006F4B44" w:rsidRDefault="006D4337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 w:rsidRPr="008076B3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重大</w:t>
      </w:r>
      <w:r w:rsidR="00B77794" w:rsidRPr="009A773B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行政</w:t>
      </w:r>
      <w:r w:rsidRPr="008076B3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执法决定</w:t>
      </w:r>
      <w:r w:rsidR="00B77794" w:rsidRPr="009A773B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法制审核</w:t>
      </w:r>
      <w:r w:rsidRPr="008076B3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责任追究制度</w:t>
      </w:r>
    </w:p>
    <w:p w:rsidR="006F4B44" w:rsidRPr="008076B3" w:rsidRDefault="006F4B44" w:rsidP="008076B3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E842B1" w:rsidRPr="004E59CD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第一条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="0029192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为加强对我局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重大行政执法决定的法制审核，规范和监督行政执法行为，保障公民、法人和其他组织的合法权益，根据</w:t>
      </w:r>
      <w:r w:rsidR="004E59CD" w:rsidRPr="004E59CD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《中华人民共和国监察法》《中华人民共和国公务员法》</w:t>
      </w:r>
      <w:r w:rsidR="004E59CD" w:rsidRPr="004E59CD">
        <w:rPr>
          <w:rFonts w:ascii="仿宋_GB2312" w:eastAsia="仿宋_GB2312" w:hAnsi="仿宋" w:cs="宋体"/>
          <w:color w:val="353535"/>
          <w:kern w:val="0"/>
          <w:sz w:val="32"/>
          <w:szCs w:val="32"/>
        </w:rPr>
        <w:t>《公职人员政务处分暂行规定》</w:t>
      </w:r>
      <w:r w:rsidR="0029192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等有关规定，结合我局工作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实际，制定本</w:t>
      </w:r>
      <w:r w:rsidR="00036B9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制度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。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第二条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本</w:t>
      </w:r>
      <w:r w:rsidR="00036B9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制度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适用于重大行政执法决定法制审核过程中，</w:t>
      </w:r>
      <w:r w:rsidR="00C82BA7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行政</w:t>
      </w:r>
      <w:r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执法部门、法制审核</w:t>
      </w:r>
      <w:r w:rsidR="007D695F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及其工作人员因故意或过失违法行使职权，给行政相对人造成损害或不良社会影响的行为。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第三条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重大行政执法决定法制审核责任追究</w:t>
      </w:r>
      <w:r w:rsidR="00711D55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应当坚持依法公正、实事求是、过罚相当、主客观统一、教育与惩戒相结合的原则。</w:t>
      </w:r>
    </w:p>
    <w:p w:rsidR="00E842B1" w:rsidRPr="00112506" w:rsidRDefault="004763F2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行政</w:t>
      </w:r>
      <w:r w:rsidR="00E842B1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执法部门和法制审核</w:t>
      </w:r>
      <w:r w:rsidR="00D554C7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="00E842B1" w:rsidRPr="00112506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及其工作人员在被追究重大行政执法决定法制审核责任的过程中，应当主动纠正错误，积极采取补救措施，避免或者减少危害后果的发生。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711D55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四条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="00E50E5C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行政</w:t>
      </w:r>
      <w:r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执法</w:t>
      </w:r>
      <w:r w:rsidR="00711D55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和法制审核</w:t>
      </w:r>
      <w:r w:rsidR="00E14049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="00711D55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有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下列情形之一的，应当对负有直接责任的主管人员和其他直接责任人员进行责任追究：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lastRenderedPageBreak/>
        <w:t>（一）</w:t>
      </w:r>
      <w:r w:rsidR="00E50E5C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行政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执法部门报送重大行政执法案件材料时</w:t>
      </w:r>
      <w:r w:rsidR="00711D55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弄虚作假、瞒报漏报、故意拖延的；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（二）</w:t>
      </w:r>
      <w:r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法制审核</w:t>
      </w:r>
      <w:r w:rsidR="00E14049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审核重大行政执法案件材料时，</w:t>
      </w:r>
      <w:r w:rsidR="006F5540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未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依照《</w:t>
      </w:r>
      <w:r w:rsidR="00AB5AC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山西省林业和草原局重大行政执法决定法制审核实施办法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》等相关规定出具意见，或者因故意、重大过失出具错误意见</w:t>
      </w:r>
      <w:r w:rsidR="003D2E05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，并造成重大损失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的。</w:t>
      </w:r>
    </w:p>
    <w:p w:rsidR="00E22D3A" w:rsidRPr="003E50D8" w:rsidRDefault="00E842B1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="00711D55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五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="00E22D3A"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重大行政执法决定法制审核过错责任追究的</w:t>
      </w:r>
      <w:r w:rsidR="00E22D3A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方式</w:t>
      </w:r>
      <w:r w:rsidR="00E22D3A"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：</w:t>
      </w:r>
    </w:p>
    <w:p w:rsidR="00E22D3A" w:rsidRPr="003E50D8" w:rsidRDefault="00E22D3A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（一）限期改正</w:t>
      </w:r>
      <w:r w:rsidR="00EE7076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并</w:t>
      </w: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作出书面检查；</w:t>
      </w:r>
    </w:p>
    <w:p w:rsidR="00E22D3A" w:rsidRPr="003E50D8" w:rsidRDefault="00E22D3A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（二）通报批评；</w:t>
      </w:r>
    </w:p>
    <w:p w:rsidR="00E22D3A" w:rsidRPr="003E50D8" w:rsidRDefault="00E22D3A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（三）</w:t>
      </w:r>
      <w:r w:rsidR="00251CA2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停职或</w:t>
      </w:r>
      <w:r w:rsidR="00251CA2"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调离行政执法（监督）岗位；</w:t>
      </w:r>
    </w:p>
    <w:p w:rsidR="00E22D3A" w:rsidRPr="003E50D8" w:rsidRDefault="00E22D3A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（四）</w:t>
      </w:r>
      <w:r w:rsidR="00251CA2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引咎辞职或责令辞职；</w:t>
      </w:r>
    </w:p>
    <w:p w:rsidR="00E22D3A" w:rsidRDefault="00E22D3A" w:rsidP="00E22D3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（五）</w:t>
      </w:r>
      <w:r w:rsidR="00251CA2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免职或降职；</w:t>
      </w:r>
    </w:p>
    <w:p w:rsidR="00E22D3A" w:rsidRPr="003E50D8" w:rsidRDefault="00E22D3A" w:rsidP="00251CA2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（六）</w:t>
      </w: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法律</w:t>
      </w:r>
      <w:r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、</w:t>
      </w: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法规、规章规定的其他责任种类。</w:t>
      </w:r>
    </w:p>
    <w:p w:rsidR="00E22D3A" w:rsidRPr="009B0D7F" w:rsidRDefault="009B0D7F" w:rsidP="009B0D7F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9B0D7F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以上责任追究方式，可单独适用，也可以合并适用，受到责任追究的单位和个人取消当年评优评先资格。</w:t>
      </w:r>
    </w:p>
    <w:p w:rsidR="00980ECA" w:rsidRPr="00980ECA" w:rsidRDefault="00980ECA" w:rsidP="00980EC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六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3E50D8">
        <w:rPr>
          <w:rFonts w:ascii="宋体" w:eastAsia="宋体" w:hAnsi="宋体" w:cs="宋体" w:hint="eastAsia"/>
          <w:color w:val="353535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省局</w:t>
      </w:r>
      <w:r w:rsidRPr="00980ECA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依照法定管理权限，依法启动重大行政执法决定法制审核责任追究程序，构成犯罪的，依法移送司法机关追究刑事责任。</w:t>
      </w:r>
    </w:p>
    <w:p w:rsidR="00E842B1" w:rsidRPr="009B0D7F" w:rsidRDefault="009B0D7F" w:rsidP="00980EC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="00980EC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七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3E50D8">
        <w:rPr>
          <w:rFonts w:ascii="宋体" w:eastAsia="宋体" w:hAnsi="宋体" w:cs="宋体" w:hint="eastAsia"/>
          <w:color w:val="353535"/>
          <w:kern w:val="0"/>
          <w:sz w:val="32"/>
          <w:szCs w:val="32"/>
        </w:rPr>
        <w:t> </w:t>
      </w:r>
      <w:r w:rsidR="00E842B1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有下列情形之一，</w:t>
      </w:r>
      <w:r w:rsidR="00251CA2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可</w:t>
      </w:r>
      <w:r w:rsidR="00E842B1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不予追究责任：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（一）因不能预见或无法抗拒的原因致使错误发生</w:t>
      </w:r>
      <w:r w:rsidR="00F741FE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，且</w:t>
      </w:r>
      <w:r w:rsidR="00F741FE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尚未造成严重后果的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；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lastRenderedPageBreak/>
        <w:t>（二）定案后发现新的证据，使原认定事实和案件性质发生变化的；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（三）行政相对人弄虚作假，致使</w:t>
      </w:r>
      <w:r w:rsidR="00E50E5C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行政</w:t>
      </w:r>
      <w:r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执法部门、法制审核</w:t>
      </w:r>
      <w:r w:rsidR="00365FB8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部门</w:t>
      </w:r>
      <w:r w:rsidR="009C29C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及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其工作人员难以作出正确判断的；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（四）虽然作出了错误的处理决定，但在执行前及时发现并积极纠正的；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（五）其他依法不予追究责任的情形。</w:t>
      </w:r>
    </w:p>
    <w:p w:rsidR="00E842B1" w:rsidRPr="00D81764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bookmarkStart w:id="0" w:name="_GoBack"/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八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3E50D8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 </w:t>
      </w:r>
      <w:bookmarkEnd w:id="0"/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重大行政执法决定法制审核过错责任追究</w:t>
      </w:r>
      <w:r w:rsidR="00B877B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</w:t>
      </w:r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由</w:t>
      </w:r>
      <w:r w:rsidR="00B877B9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局机关纪委牵头组织，办公室、人事教育处参与调查，</w:t>
      </w:r>
      <w:r w:rsidR="00B877B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并</w:t>
      </w:r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根据情况作出调查建议，</w:t>
      </w:r>
      <w:r w:rsidR="00B877B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经局主要负责人批准后进行；对</w:t>
      </w:r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调查</w:t>
      </w:r>
      <w:r w:rsidR="00B877B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中</w:t>
      </w:r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有关过错责任事实，提出责任追究初步意见，报</w:t>
      </w:r>
      <w:r w:rsidR="00B877B9" w:rsidRPr="00D81764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局党组会议或局长办公会</w:t>
      </w:r>
      <w:r w:rsidR="00B877B9"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议讨论决定。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九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案件</w:t>
      </w:r>
      <w:r w:rsidR="009C29C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涉及的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调查</w:t>
      </w:r>
      <w:r w:rsidR="009C29C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或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处理人员与被调查人员或相关行政执法行为有利害关系、可能影响公正处理的，应当回避。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十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调查重大行政执法决定法制审核过错行为，应当由两名以上工作人员进行。调查中应当听取被调查部门、人员的陈述和申辩，对其提出的事实、证据、理由，经调查认为成立的，应当予以采纳。</w:t>
      </w:r>
    </w:p>
    <w:p w:rsidR="00E842B1" w:rsidRPr="00E842B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第十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一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重大行政执法决定法制审核过错责任的调查处理，应当自调查之日起</w:t>
      </w:r>
      <w:r w:rsidR="00B877B9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一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个月内完成，有特殊情况的，经批准调查的负责人同意可延长一个月。</w:t>
      </w:r>
    </w:p>
    <w:p w:rsidR="00E842B1" w:rsidRPr="00E05B31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lastRenderedPageBreak/>
        <w:t>第十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二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05B3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 </w:t>
      </w:r>
      <w:r w:rsidR="002C0A7C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受处分的</w:t>
      </w:r>
      <w:r w:rsidRPr="00E05B3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直接责任人对处理决定有异议或不服的，</w:t>
      </w:r>
      <w:r w:rsidR="00E05B31" w:rsidRPr="00E05B3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按照</w:t>
      </w:r>
      <w:r w:rsidR="00F741FE" w:rsidRPr="00F741FE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《中华人民共和国公务员法》《关于实行党政领导干部问责的暂行规定》等法律、法规规定</w:t>
      </w:r>
      <w:r w:rsidR="00A15B5B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，</w:t>
      </w:r>
      <w:r w:rsidR="00F741FE" w:rsidRPr="00F741FE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依法提出申诉。</w:t>
      </w:r>
      <w:r w:rsidR="00E05B31" w:rsidRPr="00E05B3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变更、撤销政务处分的情形和法律后果，根据受处分的公职人员的具体身份，依照或者参照《行政机关公务员处分条例》《事业单位工作人员处分暂行规定》等规定执行。</w:t>
      </w:r>
    </w:p>
    <w:p w:rsidR="009C4466" w:rsidRDefault="00E842B1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  <w:r w:rsidRPr="00E842B1">
        <w:rPr>
          <w:rFonts w:ascii="仿宋_GB2312" w:eastAsia="仿宋_GB2312" w:hAnsi="黑体" w:cs="宋体" w:hint="eastAsia"/>
          <w:color w:val="353535"/>
          <w:kern w:val="0"/>
          <w:sz w:val="32"/>
          <w:szCs w:val="32"/>
          <w:shd w:val="clear" w:color="auto" w:fill="FFFFFF"/>
        </w:rPr>
        <w:t>第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十</w:t>
      </w:r>
      <w:r w:rsidR="00C15ED0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三</w:t>
      </w:r>
      <w:r w:rsidRPr="00333F4A">
        <w:rPr>
          <w:rFonts w:ascii="黑体" w:eastAsia="黑体" w:hAnsi="黑体" w:cs="宋体" w:hint="eastAsia"/>
          <w:color w:val="353535"/>
          <w:kern w:val="0"/>
          <w:sz w:val="32"/>
          <w:szCs w:val="32"/>
          <w:shd w:val="clear" w:color="auto" w:fill="FFFFFF"/>
        </w:rPr>
        <w:t>条</w:t>
      </w:r>
      <w:r w:rsidRPr="00E842B1">
        <w:rPr>
          <w:rFonts w:ascii="仿宋_GB2312" w:eastAsia="仿宋_GB2312" w:hAnsi="宋体" w:cs="宋体" w:hint="eastAsia"/>
          <w:color w:val="353535"/>
          <w:kern w:val="0"/>
          <w:sz w:val="32"/>
          <w:szCs w:val="32"/>
          <w:shd w:val="clear" w:color="auto" w:fill="FFFFFF"/>
        </w:rPr>
        <w:t> </w:t>
      </w:r>
      <w:r w:rsidRPr="00E842B1">
        <w:rPr>
          <w:rFonts w:ascii="仿宋_GB2312" w:eastAsia="仿宋_GB2312" w:hAnsi="仿宋" w:cs="宋体" w:hint="eastAsia"/>
          <w:color w:val="353535"/>
          <w:kern w:val="0"/>
          <w:sz w:val="32"/>
          <w:szCs w:val="32"/>
        </w:rPr>
        <w:t>本办法自公布之日起施行。</w:t>
      </w:r>
    </w:p>
    <w:p w:rsidR="006F4B44" w:rsidRDefault="006F4B44" w:rsidP="002F3936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353535"/>
          <w:kern w:val="0"/>
          <w:sz w:val="32"/>
          <w:szCs w:val="32"/>
        </w:rPr>
      </w:pPr>
    </w:p>
    <w:p w:rsidR="00112506" w:rsidRDefault="0011250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F741FE" w:rsidRDefault="00F741FE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F741FE" w:rsidRDefault="00F741FE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2721A6" w:rsidRDefault="002721A6" w:rsidP="006F4B44">
      <w:pPr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sectPr w:rsidR="002721A6" w:rsidSect="009F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05" w:rsidRDefault="009A1505" w:rsidP="006D4337">
      <w:r>
        <w:separator/>
      </w:r>
    </w:p>
  </w:endnote>
  <w:endnote w:type="continuationSeparator" w:id="0">
    <w:p w:rsidR="009A1505" w:rsidRDefault="009A1505" w:rsidP="006D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05" w:rsidRDefault="009A1505" w:rsidP="006D4337">
      <w:r>
        <w:separator/>
      </w:r>
    </w:p>
  </w:footnote>
  <w:footnote w:type="continuationSeparator" w:id="0">
    <w:p w:rsidR="009A1505" w:rsidRDefault="009A1505" w:rsidP="006D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6DB"/>
    <w:rsid w:val="00036B99"/>
    <w:rsid w:val="0005008C"/>
    <w:rsid w:val="00112506"/>
    <w:rsid w:val="001256EC"/>
    <w:rsid w:val="00142222"/>
    <w:rsid w:val="001932CB"/>
    <w:rsid w:val="00203456"/>
    <w:rsid w:val="00251CA2"/>
    <w:rsid w:val="00266B68"/>
    <w:rsid w:val="002721A6"/>
    <w:rsid w:val="00291928"/>
    <w:rsid w:val="002C0A7C"/>
    <w:rsid w:val="002F3936"/>
    <w:rsid w:val="00333F4A"/>
    <w:rsid w:val="00365FB8"/>
    <w:rsid w:val="003D2E05"/>
    <w:rsid w:val="003E50D8"/>
    <w:rsid w:val="00414269"/>
    <w:rsid w:val="004729F3"/>
    <w:rsid w:val="004763F2"/>
    <w:rsid w:val="004E2275"/>
    <w:rsid w:val="004E59CD"/>
    <w:rsid w:val="00553A56"/>
    <w:rsid w:val="005647FD"/>
    <w:rsid w:val="0057007F"/>
    <w:rsid w:val="005D09BA"/>
    <w:rsid w:val="006D4337"/>
    <w:rsid w:val="006F4B44"/>
    <w:rsid w:val="006F5540"/>
    <w:rsid w:val="00711D55"/>
    <w:rsid w:val="0071763E"/>
    <w:rsid w:val="007207A1"/>
    <w:rsid w:val="00744F0C"/>
    <w:rsid w:val="00760EC0"/>
    <w:rsid w:val="007D2A4E"/>
    <w:rsid w:val="007D695F"/>
    <w:rsid w:val="007F0C7B"/>
    <w:rsid w:val="008076B3"/>
    <w:rsid w:val="008D7B63"/>
    <w:rsid w:val="009322D5"/>
    <w:rsid w:val="00935940"/>
    <w:rsid w:val="00980ECA"/>
    <w:rsid w:val="009A1505"/>
    <w:rsid w:val="009A773B"/>
    <w:rsid w:val="009B0D7F"/>
    <w:rsid w:val="009C29C9"/>
    <w:rsid w:val="009C4466"/>
    <w:rsid w:val="009E58C0"/>
    <w:rsid w:val="009F52D4"/>
    <w:rsid w:val="00A101AF"/>
    <w:rsid w:val="00A12333"/>
    <w:rsid w:val="00A15B5B"/>
    <w:rsid w:val="00A15B9B"/>
    <w:rsid w:val="00A97C28"/>
    <w:rsid w:val="00AB5AC1"/>
    <w:rsid w:val="00AC0D17"/>
    <w:rsid w:val="00AE2722"/>
    <w:rsid w:val="00AF486D"/>
    <w:rsid w:val="00B31F87"/>
    <w:rsid w:val="00B77794"/>
    <w:rsid w:val="00B877B9"/>
    <w:rsid w:val="00BA23E3"/>
    <w:rsid w:val="00BB0A08"/>
    <w:rsid w:val="00BB6301"/>
    <w:rsid w:val="00BF1838"/>
    <w:rsid w:val="00C136BF"/>
    <w:rsid w:val="00C15ED0"/>
    <w:rsid w:val="00C47146"/>
    <w:rsid w:val="00C746DB"/>
    <w:rsid w:val="00C82BA7"/>
    <w:rsid w:val="00C82E37"/>
    <w:rsid w:val="00CB7D1B"/>
    <w:rsid w:val="00CE2698"/>
    <w:rsid w:val="00D146BF"/>
    <w:rsid w:val="00D554C7"/>
    <w:rsid w:val="00D8055D"/>
    <w:rsid w:val="00D81764"/>
    <w:rsid w:val="00DB37DF"/>
    <w:rsid w:val="00DC3C0D"/>
    <w:rsid w:val="00E05B31"/>
    <w:rsid w:val="00E14049"/>
    <w:rsid w:val="00E22D3A"/>
    <w:rsid w:val="00E50E5C"/>
    <w:rsid w:val="00E842B1"/>
    <w:rsid w:val="00ED5E63"/>
    <w:rsid w:val="00EE7076"/>
    <w:rsid w:val="00F34310"/>
    <w:rsid w:val="00F741FE"/>
    <w:rsid w:val="00F85E8A"/>
    <w:rsid w:val="00F86989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C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C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47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C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C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史宏丽</dc:creator>
  <cp:lastModifiedBy>杨炜</cp:lastModifiedBy>
  <cp:revision>12</cp:revision>
  <cp:lastPrinted>2019-09-10T00:30:00Z</cp:lastPrinted>
  <dcterms:created xsi:type="dcterms:W3CDTF">2019-11-06T03:13:00Z</dcterms:created>
  <dcterms:modified xsi:type="dcterms:W3CDTF">2020-06-11T06:56:00Z</dcterms:modified>
</cp:coreProperties>
</file>